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3B" w:rsidRDefault="0074733B" w:rsidP="00407A26">
      <w:pPr>
        <w:pStyle w:val="rvps7"/>
        <w:shd w:val="clear" w:color="auto" w:fill="FFFFFF"/>
        <w:spacing w:before="150" w:beforeAutospacing="0" w:after="150" w:afterAutospacing="0"/>
        <w:ind w:left="450" w:right="450"/>
        <w:jc w:val="both"/>
        <w:rPr>
          <w:rStyle w:val="rvts9"/>
          <w:b/>
          <w:bCs/>
          <w:color w:val="333333"/>
          <w:sz w:val="36"/>
          <w:szCs w:val="36"/>
          <w:lang w:val="uk-UA"/>
        </w:rPr>
      </w:pPr>
      <w:r>
        <w:rPr>
          <w:rStyle w:val="rvts9"/>
          <w:b/>
          <w:bCs/>
          <w:color w:val="333333"/>
          <w:sz w:val="36"/>
          <w:szCs w:val="36"/>
          <w:lang w:val="uk-UA"/>
        </w:rPr>
        <w:t xml:space="preserve">Нормативна база: </w:t>
      </w:r>
    </w:p>
    <w:p w:rsidR="0074733B" w:rsidRPr="00C37277" w:rsidRDefault="0074733B" w:rsidP="0074733B">
      <w:pPr>
        <w:pStyle w:val="rvps7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450"/>
        <w:jc w:val="both"/>
        <w:rPr>
          <w:rStyle w:val="rvts9"/>
          <w:b/>
          <w:bCs/>
          <w:color w:val="000000" w:themeColor="text1"/>
          <w:sz w:val="36"/>
          <w:szCs w:val="36"/>
          <w:lang w:val="uk-UA"/>
        </w:rPr>
      </w:pPr>
      <w:r w:rsidRPr="00C37277">
        <w:rPr>
          <w:rStyle w:val="rvts9"/>
          <w:b/>
          <w:bCs/>
          <w:color w:val="000000" w:themeColor="text1"/>
          <w:sz w:val="36"/>
          <w:szCs w:val="36"/>
          <w:lang w:val="uk-UA"/>
        </w:rPr>
        <w:t>Кодекс України про адміністративні правопорушення.</w:t>
      </w:r>
    </w:p>
    <w:p w:rsidR="0074733B" w:rsidRPr="00C37277" w:rsidRDefault="0074733B" w:rsidP="0074733B">
      <w:pPr>
        <w:pStyle w:val="rvps7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450"/>
        <w:jc w:val="both"/>
        <w:rPr>
          <w:b/>
          <w:bCs/>
          <w:color w:val="000000" w:themeColor="text1"/>
          <w:sz w:val="36"/>
          <w:szCs w:val="36"/>
          <w:lang w:val="uk-UA"/>
        </w:rPr>
      </w:pPr>
      <w:r w:rsidRPr="00C37277">
        <w:rPr>
          <w:rStyle w:val="rvts9"/>
          <w:b/>
          <w:bCs/>
          <w:color w:val="000000" w:themeColor="text1"/>
          <w:sz w:val="36"/>
          <w:szCs w:val="36"/>
          <w:lang w:val="uk-UA"/>
        </w:rPr>
        <w:t>Постанова Верховного Суду</w:t>
      </w:r>
      <w:r w:rsidRPr="00C37277">
        <w:rPr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C37277">
        <w:rPr>
          <w:b/>
          <w:color w:val="000000" w:themeColor="text1"/>
          <w:sz w:val="36"/>
          <w:szCs w:val="36"/>
          <w:shd w:val="clear" w:color="auto" w:fill="FFFFFF"/>
        </w:rPr>
        <w:t>від</w:t>
      </w:r>
      <w:proofErr w:type="spellEnd"/>
      <w:r w:rsidRPr="00C37277">
        <w:rPr>
          <w:b/>
          <w:color w:val="000000" w:themeColor="text1"/>
          <w:sz w:val="36"/>
          <w:szCs w:val="36"/>
          <w:shd w:val="clear" w:color="auto" w:fill="FFFFFF"/>
        </w:rPr>
        <w:t xml:space="preserve"> 31.10.2019 у </w:t>
      </w:r>
      <w:proofErr w:type="spellStart"/>
      <w:r w:rsidRPr="00C37277">
        <w:rPr>
          <w:b/>
          <w:color w:val="000000" w:themeColor="text1"/>
          <w:sz w:val="36"/>
          <w:szCs w:val="36"/>
          <w:shd w:val="clear" w:color="auto" w:fill="FFFFFF"/>
        </w:rPr>
        <w:t>справі</w:t>
      </w:r>
      <w:proofErr w:type="spellEnd"/>
      <w:r w:rsidRPr="00C37277">
        <w:rPr>
          <w:b/>
          <w:color w:val="000000" w:themeColor="text1"/>
          <w:sz w:val="36"/>
          <w:szCs w:val="36"/>
          <w:shd w:val="clear" w:color="auto" w:fill="FFFFFF"/>
        </w:rPr>
        <w:t> </w:t>
      </w:r>
      <w:hyperlink r:id="rId5" w:tgtFrame="_blank" w:history="1">
        <w:r w:rsidRPr="00C37277">
          <w:rPr>
            <w:rStyle w:val="a4"/>
            <w:b/>
            <w:color w:val="000000" w:themeColor="text1"/>
            <w:sz w:val="36"/>
            <w:szCs w:val="36"/>
            <w:u w:val="none"/>
            <w:shd w:val="clear" w:color="auto" w:fill="FFFFFF"/>
          </w:rPr>
          <w:t>№ 266/3228/16-а</w:t>
        </w:r>
      </w:hyperlink>
      <w:r w:rsidRPr="00C37277">
        <w:rPr>
          <w:b/>
          <w:color w:val="000000" w:themeColor="text1"/>
          <w:lang w:val="uk-UA"/>
        </w:rPr>
        <w:t xml:space="preserve"> </w:t>
      </w:r>
    </w:p>
    <w:p w:rsidR="00C37277" w:rsidRPr="00C37277" w:rsidRDefault="00C37277" w:rsidP="0074733B">
      <w:pPr>
        <w:pStyle w:val="rvps7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450"/>
        <w:jc w:val="both"/>
        <w:rPr>
          <w:b/>
          <w:bCs/>
          <w:color w:val="000000" w:themeColor="text1"/>
          <w:sz w:val="36"/>
          <w:szCs w:val="36"/>
          <w:lang w:val="uk-UA"/>
        </w:rPr>
      </w:pPr>
      <w:r w:rsidRPr="00C37277">
        <w:rPr>
          <w:b/>
          <w:color w:val="000000" w:themeColor="text1"/>
          <w:sz w:val="32"/>
          <w:szCs w:val="32"/>
          <w:lang w:val="uk-UA"/>
        </w:rPr>
        <w:t>Л</w:t>
      </w:r>
      <w:proofErr w:type="spellStart"/>
      <w:r w:rsidRPr="00C37277">
        <w:rPr>
          <w:b/>
          <w:color w:val="000000" w:themeColor="text1"/>
          <w:sz w:val="32"/>
          <w:szCs w:val="32"/>
        </w:rPr>
        <w:t>ист</w:t>
      </w:r>
      <w:proofErr w:type="spellEnd"/>
      <w:r w:rsidRPr="00C37277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C37277">
        <w:rPr>
          <w:b/>
          <w:color w:val="000000" w:themeColor="text1"/>
          <w:sz w:val="32"/>
          <w:szCs w:val="32"/>
        </w:rPr>
        <w:t>Міністерства</w:t>
      </w:r>
      <w:proofErr w:type="spellEnd"/>
      <w:r w:rsidRPr="00C37277">
        <w:rPr>
          <w:b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C37277">
        <w:rPr>
          <w:b/>
          <w:color w:val="000000" w:themeColor="text1"/>
          <w:sz w:val="32"/>
          <w:szCs w:val="32"/>
        </w:rPr>
        <w:t>юстиції</w:t>
      </w:r>
      <w:proofErr w:type="spellEnd"/>
      <w:r w:rsidRPr="00C37277">
        <w:rPr>
          <w:b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C37277">
        <w:rPr>
          <w:b/>
          <w:color w:val="000000" w:themeColor="text1"/>
          <w:sz w:val="32"/>
          <w:szCs w:val="32"/>
        </w:rPr>
        <w:t>України</w:t>
      </w:r>
      <w:proofErr w:type="spellEnd"/>
      <w:r w:rsidRPr="00C37277">
        <w:rPr>
          <w:b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C37277">
        <w:rPr>
          <w:b/>
          <w:color w:val="000000" w:themeColor="text1"/>
          <w:sz w:val="32"/>
          <w:szCs w:val="32"/>
        </w:rPr>
        <w:t>від</w:t>
      </w:r>
      <w:proofErr w:type="spellEnd"/>
      <w:r w:rsidRPr="00C37277">
        <w:rPr>
          <w:b/>
          <w:color w:val="000000" w:themeColor="text1"/>
          <w:sz w:val="32"/>
          <w:szCs w:val="32"/>
        </w:rPr>
        <w:t> </w:t>
      </w:r>
      <w:hyperlink r:id="rId6" w:tgtFrame="_blank" w:history="1">
        <w:r w:rsidRPr="00C37277">
          <w:rPr>
            <w:rStyle w:val="a4"/>
            <w:b/>
            <w:color w:val="000000" w:themeColor="text1"/>
            <w:sz w:val="32"/>
            <w:szCs w:val="32"/>
            <w:u w:val="none"/>
          </w:rPr>
          <w:t>02.08.2013 № 6802-0-4-13/11</w:t>
        </w:r>
      </w:hyperlink>
    </w:p>
    <w:p w:rsidR="0074733B" w:rsidRPr="00C37277" w:rsidRDefault="0074733B" w:rsidP="0074733B">
      <w:pPr>
        <w:pStyle w:val="rvps7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450"/>
        <w:jc w:val="both"/>
        <w:rPr>
          <w:b/>
          <w:bCs/>
          <w:color w:val="000000" w:themeColor="text1"/>
          <w:sz w:val="36"/>
          <w:szCs w:val="36"/>
          <w:lang w:val="uk-UA"/>
        </w:rPr>
      </w:pPr>
      <w:r w:rsidRPr="00C37277">
        <w:rPr>
          <w:b/>
          <w:color w:val="000000" w:themeColor="text1"/>
          <w:sz w:val="32"/>
          <w:szCs w:val="32"/>
          <w:lang w:val="uk-UA"/>
        </w:rPr>
        <w:t>Л</w:t>
      </w:r>
      <w:proofErr w:type="spellStart"/>
      <w:r w:rsidRPr="00C37277">
        <w:rPr>
          <w:b/>
          <w:color w:val="000000" w:themeColor="text1"/>
          <w:sz w:val="32"/>
          <w:szCs w:val="32"/>
        </w:rPr>
        <w:t>ист</w:t>
      </w:r>
      <w:proofErr w:type="spellEnd"/>
      <w:r w:rsidRPr="00C37277">
        <w:rPr>
          <w:b/>
          <w:color w:val="000000" w:themeColor="text1"/>
          <w:sz w:val="32"/>
          <w:szCs w:val="32"/>
          <w:lang w:val="uk-UA"/>
        </w:rPr>
        <w:t xml:space="preserve"> Міністерства юстиції України </w:t>
      </w:r>
      <w:proofErr w:type="spellStart"/>
      <w:r w:rsidRPr="00C37277">
        <w:rPr>
          <w:b/>
          <w:color w:val="000000" w:themeColor="text1"/>
          <w:sz w:val="32"/>
          <w:szCs w:val="32"/>
        </w:rPr>
        <w:t>від</w:t>
      </w:r>
      <w:proofErr w:type="spellEnd"/>
      <w:r w:rsidRPr="00C37277">
        <w:rPr>
          <w:b/>
          <w:color w:val="000000" w:themeColor="text1"/>
          <w:sz w:val="32"/>
          <w:szCs w:val="32"/>
        </w:rPr>
        <w:t> </w:t>
      </w:r>
      <w:r w:rsidRPr="00C37277">
        <w:rPr>
          <w:b/>
          <w:color w:val="000000" w:themeColor="text1"/>
          <w:sz w:val="32"/>
          <w:szCs w:val="32"/>
          <w:lang w:val="uk-UA"/>
        </w:rPr>
        <w:t xml:space="preserve"> </w:t>
      </w:r>
      <w:hyperlink r:id="rId7" w:tgtFrame="_blank" w:history="1">
        <w:r w:rsidRPr="00C37277">
          <w:rPr>
            <w:rStyle w:val="a4"/>
            <w:b/>
            <w:color w:val="000000" w:themeColor="text1"/>
            <w:sz w:val="32"/>
            <w:szCs w:val="32"/>
            <w:u w:val="none"/>
          </w:rPr>
          <w:t>06.</w:t>
        </w:r>
        <w:r w:rsidRPr="00C37277">
          <w:rPr>
            <w:rStyle w:val="a4"/>
            <w:b/>
            <w:color w:val="000000" w:themeColor="text1"/>
            <w:sz w:val="32"/>
            <w:szCs w:val="32"/>
            <w:u w:val="none"/>
            <w:lang w:val="uk-UA"/>
          </w:rPr>
          <w:t xml:space="preserve"> </w:t>
        </w:r>
        <w:r w:rsidRPr="00C37277">
          <w:rPr>
            <w:rStyle w:val="a4"/>
            <w:b/>
            <w:color w:val="000000" w:themeColor="text1"/>
            <w:sz w:val="32"/>
            <w:szCs w:val="32"/>
            <w:u w:val="none"/>
          </w:rPr>
          <w:t>03.</w:t>
        </w:r>
        <w:r w:rsidRPr="00C37277">
          <w:rPr>
            <w:rStyle w:val="a4"/>
            <w:b/>
            <w:color w:val="000000" w:themeColor="text1"/>
            <w:sz w:val="32"/>
            <w:szCs w:val="32"/>
            <w:u w:val="none"/>
            <w:lang w:val="uk-UA"/>
          </w:rPr>
          <w:t xml:space="preserve"> </w:t>
        </w:r>
        <w:r w:rsidRPr="00C37277">
          <w:rPr>
            <w:rStyle w:val="a4"/>
            <w:b/>
            <w:color w:val="000000" w:themeColor="text1"/>
            <w:sz w:val="32"/>
            <w:szCs w:val="32"/>
            <w:u w:val="none"/>
          </w:rPr>
          <w:t>20</w:t>
        </w:r>
        <w:r w:rsidRPr="00C37277">
          <w:rPr>
            <w:rStyle w:val="a4"/>
            <w:b/>
            <w:color w:val="000000" w:themeColor="text1"/>
            <w:sz w:val="32"/>
            <w:szCs w:val="32"/>
            <w:u w:val="none"/>
            <w:lang w:val="uk-UA"/>
          </w:rPr>
          <w:t>21</w:t>
        </w:r>
        <w:r w:rsidRPr="00C37277">
          <w:rPr>
            <w:rStyle w:val="a4"/>
            <w:b/>
            <w:color w:val="000000" w:themeColor="text1"/>
            <w:sz w:val="32"/>
            <w:szCs w:val="32"/>
            <w:u w:val="none"/>
          </w:rPr>
          <w:t xml:space="preserve"> № 8887/4408-33-18/11.2.2</w:t>
        </w:r>
      </w:hyperlink>
    </w:p>
    <w:p w:rsidR="0074733B" w:rsidRPr="00C37277" w:rsidRDefault="008176FD" w:rsidP="0074733B">
      <w:pPr>
        <w:pStyle w:val="rvps7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450"/>
        <w:jc w:val="both"/>
        <w:rPr>
          <w:rStyle w:val="rvts9"/>
          <w:b/>
          <w:bCs/>
          <w:color w:val="000000" w:themeColor="text1"/>
          <w:sz w:val="36"/>
          <w:szCs w:val="36"/>
          <w:lang w:val="uk-UA"/>
        </w:rPr>
      </w:pPr>
      <w:r w:rsidRPr="00C37277">
        <w:rPr>
          <w:b/>
          <w:color w:val="000000" w:themeColor="text1"/>
          <w:sz w:val="32"/>
          <w:szCs w:val="32"/>
          <w:lang w:val="uk-UA"/>
        </w:rPr>
        <w:t>Листі Державна фіскальної служби у від 11.09.2015 № 33814/7/99-99-17-03-01-17</w:t>
      </w:r>
    </w:p>
    <w:p w:rsidR="0074733B" w:rsidRDefault="0074733B" w:rsidP="0074733B">
      <w:pPr>
        <w:pStyle w:val="rvps7"/>
        <w:shd w:val="clear" w:color="auto" w:fill="FFFFFF"/>
        <w:spacing w:before="150" w:beforeAutospacing="0" w:after="150" w:afterAutospacing="0"/>
        <w:ind w:left="810" w:right="450"/>
        <w:jc w:val="both"/>
        <w:rPr>
          <w:sz w:val="32"/>
          <w:szCs w:val="32"/>
          <w:lang w:val="uk-UA"/>
        </w:rPr>
      </w:pPr>
    </w:p>
    <w:p w:rsidR="0074733B" w:rsidRPr="0009258B" w:rsidRDefault="0074733B" w:rsidP="0074733B">
      <w:pPr>
        <w:pStyle w:val="rvps7"/>
        <w:shd w:val="clear" w:color="auto" w:fill="FFFFFF"/>
        <w:spacing w:before="150" w:beforeAutospacing="0" w:after="150" w:afterAutospacing="0"/>
        <w:ind w:left="810" w:right="450"/>
        <w:jc w:val="both"/>
        <w:rPr>
          <w:sz w:val="28"/>
          <w:szCs w:val="28"/>
          <w:lang w:val="uk-UA"/>
        </w:rPr>
      </w:pPr>
      <w:r w:rsidRPr="0009258B">
        <w:rPr>
          <w:sz w:val="28"/>
          <w:szCs w:val="28"/>
          <w:lang w:val="uk-UA"/>
        </w:rPr>
        <w:t xml:space="preserve">Загальні положення </w:t>
      </w:r>
    </w:p>
    <w:p w:rsidR="0074733B" w:rsidRPr="0009258B" w:rsidRDefault="0074733B" w:rsidP="007473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Стаття 22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Кодексу України про адміністративні правопорушення передбачає м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ожливість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звільнення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відповідальності при 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малозначності правопорушення</w:t>
      </w:r>
      <w:bookmarkStart w:id="0" w:name="n107"/>
      <w:bookmarkEnd w:id="0"/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07A26" w:rsidRPr="0009258B" w:rsidRDefault="0074733B" w:rsidP="007473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малозначності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вчиненого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адміністративного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 орган (посадова особа), уповноважений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вирішувати справу, може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звільнити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порушника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відповідальності і обмежитись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усним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b/>
          <w:sz w:val="28"/>
          <w:szCs w:val="28"/>
          <w:lang w:val="uk-UA"/>
        </w:rPr>
        <w:t>зауваженням.</w:t>
      </w:r>
    </w:p>
    <w:p w:rsidR="00863591" w:rsidRPr="0009258B" w:rsidRDefault="00407A26" w:rsidP="007473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n4468"/>
      <w:bookmarkEnd w:id="1"/>
      <w:proofErr w:type="spellStart"/>
      <w:r w:rsidRPr="000925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Примітка</w:t>
      </w:r>
      <w:proofErr w:type="spellEnd"/>
      <w:r w:rsidRPr="000925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begin"/>
      </w:r>
      <w:r w:rsidRPr="0009258B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"https://zakon.rada.gov.ua/laws/show/80731-10/paran106" \l "n965" </w:instrTex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separate"/>
      </w:r>
      <w:r w:rsidRPr="0009258B">
        <w:rPr>
          <w:rStyle w:val="a4"/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9258B">
        <w:rPr>
          <w:rStyle w:val="a4"/>
          <w:rFonts w:ascii="Times New Roman" w:hAnsi="Times New Roman" w:cs="Times New Roman"/>
          <w:sz w:val="28"/>
          <w:szCs w:val="28"/>
        </w:rPr>
        <w:t xml:space="preserve"> четвертою</w: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end"/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121, </w:t>
      </w:r>
      <w:proofErr w:type="spellStart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begin"/>
      </w:r>
      <w:r w:rsidRPr="0009258B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"https://zakon.rada.gov.ua/laws/show/80731-10/paran106" \l "n4031" </w:instrTex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separate"/>
      </w:r>
      <w:r w:rsidRPr="0009258B">
        <w:rPr>
          <w:rStyle w:val="a4"/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74733B" w:rsidRPr="0009258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9258B">
        <w:rPr>
          <w:rStyle w:val="a4"/>
          <w:rFonts w:ascii="Times New Roman" w:hAnsi="Times New Roman" w:cs="Times New Roman"/>
          <w:sz w:val="28"/>
          <w:szCs w:val="28"/>
        </w:rPr>
        <w:t>п’ятою</w:t>
      </w:r>
      <w:proofErr w:type="spellEnd"/>
      <w:proofErr w:type="gramEnd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end"/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122, </w:t>
      </w:r>
      <w:proofErr w:type="spellStart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begin"/>
      </w:r>
      <w:r w:rsidRPr="0009258B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"https://zakon.rada.gov.ua/laws/show/80731-10/paran106" \l "n998" </w:instrTex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separate"/>
      </w:r>
      <w:r w:rsidRPr="0009258B">
        <w:rPr>
          <w:rStyle w:val="a4"/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09258B">
        <w:rPr>
          <w:rStyle w:val="a4"/>
          <w:rFonts w:ascii="Times New Roman" w:hAnsi="Times New Roman" w:cs="Times New Roman"/>
          <w:sz w:val="28"/>
          <w:szCs w:val="28"/>
        </w:rPr>
        <w:t xml:space="preserve"> 122</w: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anchor="n998" w:history="1">
        <w:r w:rsidRPr="0009258B">
          <w:rPr>
            <w:rStyle w:val="a4"/>
            <w:rFonts w:ascii="Times New Roman" w:hAnsi="Times New Roman" w:cs="Times New Roman"/>
            <w:sz w:val="28"/>
            <w:szCs w:val="28"/>
          </w:rPr>
          <w:t>-2</w:t>
        </w:r>
      </w:hyperlink>
      <w:r w:rsidRPr="0009258B">
        <w:rPr>
          <w:rFonts w:ascii="Times New Roman" w:hAnsi="Times New Roman" w:cs="Times New Roman"/>
          <w:sz w:val="28"/>
          <w:szCs w:val="28"/>
        </w:rPr>
        <w:t>, </w:t>
      </w:r>
      <w:hyperlink r:id="rId9" w:anchor="n1004" w:history="1">
        <w:r w:rsidRPr="0009258B">
          <w:rPr>
            <w:rStyle w:val="a4"/>
            <w:rFonts w:ascii="Times New Roman" w:hAnsi="Times New Roman" w:cs="Times New Roman"/>
            <w:sz w:val="28"/>
            <w:szCs w:val="28"/>
          </w:rPr>
          <w:t>122</w:t>
        </w:r>
      </w:hyperlink>
      <w:hyperlink r:id="rId10" w:anchor="n1004" w:history="1">
        <w:r w:rsidRPr="0009258B">
          <w:rPr>
            <w:rStyle w:val="a4"/>
            <w:rFonts w:ascii="Times New Roman" w:hAnsi="Times New Roman" w:cs="Times New Roman"/>
            <w:sz w:val="28"/>
            <w:szCs w:val="28"/>
          </w:rPr>
          <w:t>-4</w:t>
        </w:r>
      </w:hyperlink>
      <w:r w:rsidRPr="0009258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begin"/>
      </w:r>
      <w:r w:rsidRPr="0009258B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"https://zakon.rada.gov.ua/laws/show/80731-10/paran106" \l "n2979" </w:instrTex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separate"/>
      </w:r>
      <w:r w:rsidRPr="0009258B">
        <w:rPr>
          <w:rStyle w:val="a4"/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74733B" w:rsidRPr="0009258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Style w:val="a4"/>
          <w:rFonts w:ascii="Times New Roman" w:hAnsi="Times New Roman" w:cs="Times New Roman"/>
          <w:sz w:val="28"/>
          <w:szCs w:val="28"/>
        </w:rPr>
        <w:t>третьою</w:t>
      </w:r>
      <w:proofErr w:type="spellEnd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end"/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123, </w:t>
      </w:r>
      <w:proofErr w:type="spellStart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begin"/>
      </w:r>
      <w:r w:rsidRPr="0009258B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"https://zakon.rada.gov.ua/laws/show/80731-10/paran106" \l "n1038" </w:instrTex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separate"/>
      </w:r>
      <w:r w:rsidRPr="0009258B">
        <w:rPr>
          <w:rStyle w:val="a4"/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09258B">
        <w:rPr>
          <w:rStyle w:val="a4"/>
          <w:rFonts w:ascii="Times New Roman" w:hAnsi="Times New Roman" w:cs="Times New Roman"/>
          <w:sz w:val="28"/>
          <w:szCs w:val="28"/>
        </w:rPr>
        <w:t xml:space="preserve"> другою - четвертою</w: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end"/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126 та </w:t>
      </w:r>
      <w:proofErr w:type="spellStart"/>
      <w:r w:rsidR="00AC24CB" w:rsidRPr="0009258B">
        <w:rPr>
          <w:rFonts w:ascii="Times New Roman" w:hAnsi="Times New Roman" w:cs="Times New Roman"/>
          <w:sz w:val="28"/>
          <w:szCs w:val="28"/>
        </w:rPr>
        <w:fldChar w:fldCharType="begin"/>
      </w:r>
      <w:r w:rsidR="00AC24CB" w:rsidRPr="0009258B">
        <w:rPr>
          <w:rFonts w:ascii="Times New Roman" w:hAnsi="Times New Roman" w:cs="Times New Roman"/>
          <w:sz w:val="28"/>
          <w:szCs w:val="28"/>
        </w:rPr>
        <w:instrText>HYPERLINK "https://zakon.rada.gov.ua/laws/show/80731-10/paran106" \l "n1082"</w:instrTex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separate"/>
      </w:r>
      <w:r w:rsidRPr="0009258B">
        <w:rPr>
          <w:rStyle w:val="a4"/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09258B">
        <w:rPr>
          <w:rStyle w:val="a4"/>
          <w:rFonts w:ascii="Times New Roman" w:hAnsi="Times New Roman" w:cs="Times New Roman"/>
          <w:sz w:val="28"/>
          <w:szCs w:val="28"/>
        </w:rPr>
        <w:t xml:space="preserve"> 130</w:t>
      </w:r>
      <w:r w:rsidR="00AC24CB" w:rsidRPr="0009258B">
        <w:rPr>
          <w:rFonts w:ascii="Times New Roman" w:hAnsi="Times New Roman" w:cs="Times New Roman"/>
          <w:sz w:val="28"/>
          <w:szCs w:val="28"/>
        </w:rPr>
        <w:fldChar w:fldCharType="end"/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Кодексу.</w:t>
      </w:r>
    </w:p>
    <w:p w:rsidR="00407A26" w:rsidRPr="0009258B" w:rsidRDefault="00407A26" w:rsidP="007473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</w:p>
    <w:p w:rsidR="00407A26" w:rsidRPr="0009258B" w:rsidRDefault="00407A26" w:rsidP="008176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Яке адміністративне</w:t>
      </w:r>
      <w:r w:rsidR="0074733B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порушення</w:t>
      </w:r>
      <w:r w:rsidR="0074733B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вважається</w:t>
      </w:r>
      <w:r w:rsidR="0074733B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малозначним</w:t>
      </w:r>
      <w:r w:rsidR="008176FD" w:rsidRPr="0009258B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роз’яснення Мінюсту, </w:t>
      </w:r>
      <w:proofErr w:type="spellStart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 щодо малозначності правопорушення</w:t>
      </w:r>
    </w:p>
    <w:p w:rsidR="00407A26" w:rsidRPr="0009258B" w:rsidRDefault="00407A26" w:rsidP="00817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9258B">
        <w:rPr>
          <w:rFonts w:ascii="Times New Roman" w:hAnsi="Times New Roman" w:cs="Times New Roman"/>
          <w:b/>
          <w:sz w:val="28"/>
          <w:szCs w:val="28"/>
        </w:rPr>
        <w:t>малозначність</w:t>
      </w:r>
      <w:proofErr w:type="spellEnd"/>
      <w:r w:rsidR="0074733B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b/>
          <w:sz w:val="28"/>
          <w:szCs w:val="28"/>
        </w:rPr>
        <w:t>порушення</w:t>
      </w:r>
      <w:proofErr w:type="spellEnd"/>
      <w:r w:rsidRPr="0009258B">
        <w:rPr>
          <w:rFonts w:ascii="Times New Roman" w:hAnsi="Times New Roman" w:cs="Times New Roman"/>
          <w:b/>
          <w:sz w:val="28"/>
          <w:szCs w:val="28"/>
        </w:rPr>
        <w:t>»</w:t>
      </w:r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міститься  </w:t>
      </w:r>
      <w:r w:rsidRPr="0009258B">
        <w:rPr>
          <w:rFonts w:ascii="Times New Roman" w:hAnsi="Times New Roman" w:cs="Times New Roman"/>
          <w:sz w:val="28"/>
          <w:szCs w:val="28"/>
        </w:rPr>
        <w:t>у нормах</w:t>
      </w:r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</w:rPr>
        <w:t xml:space="preserve">КУпАП та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925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штрафів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.</w:t>
      </w:r>
    </w:p>
    <w:p w:rsidR="00C37277" w:rsidRPr="0009258B" w:rsidRDefault="00407A26" w:rsidP="00C372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юст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09258B">
          <w:rPr>
            <w:rStyle w:val="a4"/>
            <w:rFonts w:ascii="Times New Roman" w:hAnsi="Times New Roman" w:cs="Times New Roman"/>
            <w:sz w:val="28"/>
            <w:szCs w:val="28"/>
          </w:rPr>
          <w:t>06.03.2018 № 8887/4408-33-18/11.2.2</w:t>
        </w:r>
      </w:hyperlink>
      <w:r w:rsidRPr="000925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поясню</w:t>
      </w:r>
      <w:proofErr w:type="gramStart"/>
      <w:r w:rsidRPr="0009258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чинними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нормами КУпАП не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малозначності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33B" w:rsidRPr="0009258B">
        <w:rPr>
          <w:rFonts w:ascii="Times New Roman" w:hAnsi="Times New Roman" w:cs="Times New Roman"/>
          <w:sz w:val="28"/>
          <w:szCs w:val="28"/>
        </w:rPr>
        <w:t>вчиненного</w:t>
      </w:r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виключного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lastRenderedPageBreak/>
        <w:t>вважатися</w:t>
      </w:r>
      <w:proofErr w:type="spellEnd"/>
      <w:r w:rsidR="0074733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малозначними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. Орган (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особа),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адміністративніправопорушення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правопорушника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9258B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на характер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вчинюваного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.</w:t>
      </w:r>
    </w:p>
    <w:p w:rsidR="00407A26" w:rsidRPr="0009258B" w:rsidRDefault="00407A26" w:rsidP="00817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58B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листом від</w:t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Pr="0009258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01.03.2018 № 1562/3/4.1-ДП-18</w:t>
        </w:r>
      </w:hyperlink>
      <w:r w:rsidRPr="0009258B">
        <w:rPr>
          <w:rFonts w:ascii="Times New Roman" w:hAnsi="Times New Roman" w:cs="Times New Roman"/>
          <w:sz w:val="28"/>
          <w:szCs w:val="28"/>
        </w:rPr>
        <w:t> 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вказує, що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оскарження протоколу про адміністративне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 за</w:t>
      </w:r>
      <w:r w:rsidRPr="0009258B">
        <w:rPr>
          <w:rFonts w:ascii="Times New Roman" w:hAnsi="Times New Roman" w:cs="Times New Roman"/>
          <w:sz w:val="28"/>
          <w:szCs w:val="28"/>
        </w:rPr>
        <w:t> </w:t>
      </w:r>
      <w:hyperlink r:id="rId13" w:anchor="n211" w:tgtFrame="_blank" w:history="1">
        <w:r w:rsidRPr="0009258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частиною</w:t>
        </w:r>
        <w:r w:rsidR="008176FD" w:rsidRPr="0009258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09258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першою</w:t>
        </w:r>
        <w:r w:rsidR="008176FD" w:rsidRPr="0009258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09258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статті 41 Кодексу</w:t>
        </w:r>
      </w:hyperlink>
      <w:r w:rsidR="008176FD" w:rsidRPr="0009258B">
        <w:rPr>
          <w:rFonts w:ascii="Times New Roman" w:hAnsi="Times New Roman" w:cs="Times New Roman"/>
          <w:sz w:val="28"/>
          <w:szCs w:val="28"/>
        </w:rPr>
        <w:t> </w:t>
      </w:r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України про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адміністративні</w:t>
      </w:r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</w:t>
      </w:r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8176FD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виключно у судовому порядку.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</w:rPr>
        <w:t>до протоколу</w:t>
      </w:r>
      <w:r w:rsidR="008176FD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малозначності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5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малозначності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</w:rPr>
        <w:t xml:space="preserve"> вчиненного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8176FD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.</w:t>
      </w:r>
    </w:p>
    <w:p w:rsidR="00407A26" w:rsidRPr="0009258B" w:rsidRDefault="008176FD" w:rsidP="008176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Державна фіскальна служба у Л</w:t>
      </w:r>
      <w:r w:rsidR="00407A26" w:rsidRPr="0009258B"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ист</w:t>
      </w:r>
      <w:r w:rsidRPr="0009258B"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і</w:t>
      </w:r>
      <w:r w:rsidR="00407A26" w:rsidRPr="0009258B"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 xml:space="preserve"> від 11.09.2015 № 33814/7/99-99-17-03-01-17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кваліфікувати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 як малозначне, якщо сума боргу (недоїмки) з ЄСВ, яка є предметом об'єкта складу правопорушення, не перевищує 10 гривень.</w:t>
      </w:r>
    </w:p>
    <w:p w:rsidR="00407A26" w:rsidRPr="0009258B" w:rsidRDefault="008176FD" w:rsidP="008176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color w:val="FF0000"/>
          <w:sz w:val="28"/>
          <w:szCs w:val="28"/>
          <w:lang w:val="uk-UA"/>
        </w:rPr>
        <w:t>Ч. 2. с</w:t>
      </w:r>
      <w:r w:rsidR="00407A26" w:rsidRPr="0009258B">
        <w:rPr>
          <w:rFonts w:ascii="Times New Roman" w:hAnsi="Times New Roman" w:cs="Times New Roman"/>
          <w:color w:val="FF0000"/>
          <w:sz w:val="28"/>
          <w:szCs w:val="28"/>
          <w:lang w:val="uk-UA"/>
        </w:rPr>
        <w:t>т.22 КУпАП</w:t>
      </w:r>
      <w:r w:rsidRPr="000925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визначено, що при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малозначності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вчиненого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адміністративного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 орган (посадова особа), уповноважений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вирішувати справу, може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звільнити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порушника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адміністративної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відповідальності і обмежитись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усним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зауваженням.</w:t>
      </w:r>
    </w:p>
    <w:p w:rsidR="00407A26" w:rsidRPr="0009258B" w:rsidRDefault="00407A26" w:rsidP="004E5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8B">
        <w:rPr>
          <w:rFonts w:ascii="Times New Roman" w:hAnsi="Times New Roman" w:cs="Times New Roman"/>
          <w:sz w:val="28"/>
          <w:szCs w:val="28"/>
          <w:lang w:val="uk-UA"/>
        </w:rPr>
        <w:t>Усне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зауваження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може бути зроблено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лише за малозначне</w:t>
      </w:r>
      <w:r w:rsidR="00C37277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правопорушення. Законодавство не містить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переліку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вказівок на ознаки, що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озволяють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малозначність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. 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>Тобто,</w:t>
      </w:r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50A1" w:rsidRPr="0009258B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</w:rPr>
        <w:t xml:space="preserve"> та не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завдають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суспільним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такого заходу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50A1" w:rsidRPr="0009258B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A1" w:rsidRPr="0009258B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невідворотність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малозначне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.</w:t>
      </w:r>
    </w:p>
    <w:p w:rsidR="004E50A1" w:rsidRPr="0009258B" w:rsidRDefault="004E50A1" w:rsidP="004E50A1">
      <w:pPr>
        <w:rPr>
          <w:rFonts w:ascii="Times New Roman" w:hAnsi="Times New Roman" w:cs="Times New Roman"/>
          <w:sz w:val="28"/>
          <w:szCs w:val="28"/>
        </w:rPr>
      </w:pP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>Розмежування усного зауваження та попередження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26" w:rsidRPr="0009258B" w:rsidRDefault="00407A26" w:rsidP="004E5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8B">
        <w:rPr>
          <w:rFonts w:ascii="Times New Roman" w:hAnsi="Times New Roman" w:cs="Times New Roman"/>
          <w:sz w:val="28"/>
          <w:szCs w:val="28"/>
        </w:rPr>
        <w:t xml:space="preserve">Кодекс </w:t>
      </w:r>
      <w:proofErr w:type="spellStart"/>
      <w:proofErr w:type="gramStart"/>
      <w:r w:rsidRPr="0009258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>ітко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розмежовує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b/>
          <w:i/>
          <w:sz w:val="28"/>
          <w:szCs w:val="28"/>
        </w:rPr>
        <w:t>усне</w:t>
      </w:r>
      <w:proofErr w:type="spellEnd"/>
      <w:r w:rsidR="004E50A1" w:rsidRPr="000925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b/>
          <w:i/>
          <w:sz w:val="28"/>
          <w:szCs w:val="28"/>
        </w:rPr>
        <w:t>зауваження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b/>
          <w:i/>
          <w:sz w:val="28"/>
          <w:szCs w:val="28"/>
        </w:rPr>
        <w:t>попередження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: </w:t>
      </w:r>
      <w:r w:rsidR="004E50A1" w:rsidRPr="0009258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9258B">
        <w:rPr>
          <w:rFonts w:ascii="Times New Roman" w:hAnsi="Times New Roman" w:cs="Times New Roman"/>
          <w:b/>
          <w:sz w:val="28"/>
          <w:szCs w:val="28"/>
        </w:rPr>
        <w:t>сне</w:t>
      </w:r>
      <w:r w:rsidR="004E50A1"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у ст. 24; </w:t>
      </w:r>
      <w:proofErr w:type="spellStart"/>
      <w:r w:rsidRPr="0009258B">
        <w:rPr>
          <w:rFonts w:ascii="Times New Roman" w:hAnsi="Times New Roman" w:cs="Times New Roman"/>
          <w:b/>
          <w:sz w:val="28"/>
          <w:szCs w:val="28"/>
        </w:rPr>
        <w:t>попередження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наявне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п. 1 ч. 1 ст. 24, у ст. 26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санкціях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статей</w:t>
      </w:r>
      <w:proofErr w:type="gramStart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>собливої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</w:rPr>
        <w:t xml:space="preserve">КУпАП. 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будучи </w:t>
      </w:r>
      <w:proofErr w:type="spellStart"/>
      <w:proofErr w:type="gramStart"/>
      <w:r w:rsidRPr="000925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>ірою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виноситься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установленим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4E50A1" w:rsidRPr="0009258B" w:rsidRDefault="004E50A1" w:rsidP="004E50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07A26" w:rsidRPr="0009258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акті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7A26" w:rsidRPr="0009258B">
        <w:rPr>
          <w:rFonts w:ascii="Times New Roman" w:hAnsi="Times New Roman" w:cs="Times New Roman"/>
          <w:sz w:val="28"/>
          <w:szCs w:val="28"/>
        </w:rPr>
        <w:t>учинок</w:t>
      </w:r>
      <w:proofErr w:type="spellEnd"/>
      <w:r w:rsidR="00407A26" w:rsidRPr="0009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0A1" w:rsidRPr="0009258B" w:rsidRDefault="00407A26" w:rsidP="004E50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Призначення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усного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зауваження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здійснюється на розсуд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посадової особи, що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вирішує справу відповідно до оцінки нею всіх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провини й особистості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порушника. </w:t>
      </w:r>
    </w:p>
    <w:p w:rsidR="004E50A1" w:rsidRPr="0009258B" w:rsidRDefault="004E50A1" w:rsidP="004E50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Не передбачено  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обов'язковості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звільнення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адміністративної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відповідальності за всі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малозначні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правопорушення, а передбачає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тільки право прийняти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A26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рішення. </w:t>
      </w:r>
    </w:p>
    <w:p w:rsidR="004E50A1" w:rsidRPr="0009258B" w:rsidRDefault="00407A26" w:rsidP="004E50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sz w:val="28"/>
          <w:szCs w:val="28"/>
          <w:lang w:val="uk-UA"/>
        </w:rPr>
        <w:t>У зв’язку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  <w:lang w:val="uk-UA"/>
        </w:rPr>
        <w:t>ізцимпосадова</w:t>
      </w:r>
      <w:proofErr w:type="spellEnd"/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особа зобов'язана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сторони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адміністративного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правопорушення, оцінити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наслідки, переконатися, що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вчинення не завдана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значна шкода окремим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громадянам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суспільству, дослідити обстановку, в якій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вчинене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порушення, особистість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порушника, обставини, що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пом'якшують і обтяжують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 w:rsidR="004E50A1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тощо. </w:t>
      </w:r>
    </w:p>
    <w:p w:rsidR="0009258B" w:rsidRPr="0009258B" w:rsidRDefault="0009258B" w:rsidP="008176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СУДОВА ПРАКТИКА </w:t>
      </w:r>
    </w:p>
    <w:p w:rsidR="008176FD" w:rsidRPr="0009258B" w:rsidRDefault="008176FD" w:rsidP="000925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ст. 22 КУпАП суд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Судовоїпалати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справах Верховного Суду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практики Верховного Суду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судами справ про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,</w:t>
      </w:r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09258B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i/>
          <w:sz w:val="28"/>
          <w:szCs w:val="28"/>
        </w:rPr>
        <w:t>визначення</w:t>
      </w:r>
      <w:proofErr w:type="spellEnd"/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i/>
          <w:sz w:val="28"/>
          <w:szCs w:val="28"/>
        </w:rPr>
        <w:t>малозначного</w:t>
      </w:r>
      <w:proofErr w:type="spellEnd"/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i/>
          <w:sz w:val="28"/>
          <w:szCs w:val="28"/>
        </w:rPr>
        <w:t>правопорушення</w:t>
      </w:r>
      <w:proofErr w:type="spellEnd"/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i/>
          <w:sz w:val="28"/>
          <w:szCs w:val="28"/>
        </w:rPr>
        <w:t>законодавчо</w:t>
      </w:r>
      <w:proofErr w:type="spellEnd"/>
      <w:r w:rsidRPr="0009258B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09258B">
        <w:rPr>
          <w:rFonts w:ascii="Times New Roman" w:hAnsi="Times New Roman" w:cs="Times New Roman"/>
          <w:i/>
          <w:sz w:val="28"/>
          <w:szCs w:val="28"/>
        </w:rPr>
        <w:t>закріплено</w:t>
      </w:r>
      <w:proofErr w:type="spellEnd"/>
      <w:proofErr w:type="gramStart"/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  <w:proofErr w:type="gramEnd"/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Проте, у кожному конкретному випадку судом має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вирішуватися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про 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визнання діяння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малозначним, виходячи з того, що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його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наслідки не представляють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суспільної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шкідливості, не завдали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або не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здатні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завдати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значної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шкоди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суспільним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або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державним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інтересам, правам та свободам інших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осіб</w:t>
      </w:r>
      <w:r w:rsidR="0009258B" w:rsidRPr="0009258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09258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176FD" w:rsidRPr="0009258B" w:rsidRDefault="008176FD" w:rsidP="0009258B">
      <w:pPr>
        <w:jc w:val="both"/>
        <w:rPr>
          <w:rFonts w:ascii="Times New Roman" w:hAnsi="Times New Roman" w:cs="Times New Roman"/>
          <w:sz w:val="28"/>
          <w:szCs w:val="28"/>
        </w:rPr>
      </w:pPr>
      <w:r w:rsidRPr="000925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Суд зазначив, що </w:t>
      </w:r>
      <w:r w:rsidR="0009258B" w:rsidRPr="0009258B">
        <w:rPr>
          <w:rFonts w:ascii="Times New Roman" w:hAnsi="Times New Roman" w:cs="Times New Roman"/>
          <w:sz w:val="28"/>
          <w:szCs w:val="28"/>
        </w:rPr>
        <w:t>«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сфера застосування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статті 22 КУпАП (звільнення особи </w:t>
      </w:r>
      <w:proofErr w:type="spellStart"/>
      <w:r w:rsidR="0009258B" w:rsidRPr="000925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8B" w:rsidRPr="0009258B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відповідальності за малозначності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вчиненого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правопорушення) поширюється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саме на орган, уповноважений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вирішувати справу (у цьому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58B" w:rsidRPr="0009258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патрульної</w:t>
      </w:r>
      <w:r w:rsidR="0009258B" w:rsidRPr="0009258B">
        <w:rPr>
          <w:rFonts w:ascii="Times New Roman" w:hAnsi="Times New Roman" w:cs="Times New Roman"/>
          <w:sz w:val="28"/>
          <w:szCs w:val="28"/>
        </w:rPr>
        <w:t xml:space="preserve"> 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поліції)</w:t>
      </w:r>
      <w:r w:rsidR="0009258B" w:rsidRPr="0009258B">
        <w:rPr>
          <w:rFonts w:ascii="Times New Roman" w:hAnsi="Times New Roman" w:cs="Times New Roman"/>
          <w:sz w:val="28"/>
          <w:szCs w:val="28"/>
        </w:rPr>
        <w:t>»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92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258B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gramStart"/>
      <w:r w:rsidRPr="0009258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дійшов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приймаючи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порушника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суди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попередніхі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нстанцій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компетенціїтим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втрутившись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дискреційні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відповідача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принципам та засадам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="0009258B" w:rsidRPr="00092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(постанова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 xml:space="preserve"> 31.10.2019 у </w:t>
      </w:r>
      <w:proofErr w:type="spellStart"/>
      <w:r w:rsidRPr="0009258B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09258B">
        <w:rPr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Pr="0009258B">
          <w:rPr>
            <w:rStyle w:val="a4"/>
            <w:rFonts w:ascii="Times New Roman" w:hAnsi="Times New Roman" w:cs="Times New Roman"/>
            <w:sz w:val="28"/>
            <w:szCs w:val="28"/>
          </w:rPr>
          <w:t xml:space="preserve">№ </w:t>
        </w:r>
        <w:proofErr w:type="gramStart"/>
        <w:r w:rsidRPr="0009258B">
          <w:rPr>
            <w:rStyle w:val="a4"/>
            <w:rFonts w:ascii="Times New Roman" w:hAnsi="Times New Roman" w:cs="Times New Roman"/>
            <w:sz w:val="28"/>
            <w:szCs w:val="28"/>
          </w:rPr>
          <w:t>266/3228/16-а</w:t>
        </w:r>
      </w:hyperlink>
      <w:r w:rsidRPr="0009258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7A26" w:rsidRPr="0009258B" w:rsidRDefault="00407A26" w:rsidP="0074733B">
      <w:pPr>
        <w:rPr>
          <w:rFonts w:ascii="Times New Roman" w:hAnsi="Times New Roman" w:cs="Times New Roman"/>
          <w:sz w:val="28"/>
          <w:szCs w:val="28"/>
        </w:rPr>
      </w:pPr>
    </w:p>
    <w:sectPr w:rsidR="00407A26" w:rsidRPr="0009258B" w:rsidSect="00AC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34B"/>
    <w:multiLevelType w:val="hybridMultilevel"/>
    <w:tmpl w:val="BE2AFA44"/>
    <w:lvl w:ilvl="0" w:tplc="DE2E0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E2"/>
    <w:rsid w:val="0009258B"/>
    <w:rsid w:val="00407A26"/>
    <w:rsid w:val="004205E2"/>
    <w:rsid w:val="004E50A1"/>
    <w:rsid w:val="0074733B"/>
    <w:rsid w:val="008176FD"/>
    <w:rsid w:val="00863591"/>
    <w:rsid w:val="00AC24CB"/>
    <w:rsid w:val="00C3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4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07A26"/>
  </w:style>
  <w:style w:type="paragraph" w:customStyle="1" w:styleId="rvps2">
    <w:name w:val="rvps2"/>
    <w:basedOn w:val="a"/>
    <w:rsid w:val="004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A26"/>
    <w:rPr>
      <w:color w:val="0000FF"/>
      <w:u w:val="single"/>
    </w:rPr>
  </w:style>
  <w:style w:type="character" w:styleId="a5">
    <w:name w:val="Emphasis"/>
    <w:basedOn w:val="a0"/>
    <w:uiPriority w:val="20"/>
    <w:qFormat/>
    <w:rsid w:val="00407A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/paran106" TargetMode="External"/><Relationship Id="rId13" Type="http://schemas.openxmlformats.org/officeDocument/2006/relationships/hyperlink" Target="https://zakon.help/law/8073-X/edition05.05.2018/pag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help/article/shchodo-nadannya-rozyasnennya-ponyattya-maloznachnosti/" TargetMode="External"/><Relationship Id="rId12" Type="http://schemas.openxmlformats.org/officeDocument/2006/relationships/hyperlink" Target="https://zakon.help/article/shchodo-zvilnennya-vid-administrativno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help/article/shchodo-nadannya-rozyasnennya-polozhen-kodeksu-ukraini-pro/" TargetMode="External"/><Relationship Id="rId11" Type="http://schemas.openxmlformats.org/officeDocument/2006/relationships/hyperlink" Target="https://zakon.help/article/shchodo-nadannya-rozyasnennya-ponyattya-maloznachnosti/" TargetMode="External"/><Relationship Id="rId5" Type="http://schemas.openxmlformats.org/officeDocument/2006/relationships/hyperlink" Target="http://www.reyestr.court.gov.ua/Review/853232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80731-10/paran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1-10/paran106" TargetMode="External"/><Relationship Id="rId14" Type="http://schemas.openxmlformats.org/officeDocument/2006/relationships/hyperlink" Target="http://www.reyestr.court.gov.ua/Review/85323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admin</cp:lastModifiedBy>
  <cp:revision>4</cp:revision>
  <dcterms:created xsi:type="dcterms:W3CDTF">2021-06-29T14:35:00Z</dcterms:created>
  <dcterms:modified xsi:type="dcterms:W3CDTF">2021-06-29T19:11:00Z</dcterms:modified>
</cp:coreProperties>
</file>